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DFB" w:rsidRDefault="00A03A28" w:rsidP="00A03A28">
      <w:pPr>
        <w:spacing w:after="0" w:line="240" w:lineRule="auto"/>
        <w:ind w:left="708" w:firstLine="708"/>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241DFB">
        <w:rPr>
          <w:rFonts w:ascii="Times New Roman" w:hAnsi="Times New Roman" w:cs="Times New Roman"/>
          <w:b/>
          <w:sz w:val="24"/>
          <w:szCs w:val="24"/>
        </w:rPr>
        <w:t>OBRAZLOŽENJE</w:t>
      </w:r>
    </w:p>
    <w:p w:rsidR="00241DFB" w:rsidRDefault="00241DFB" w:rsidP="00A03A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Prijedloga Odluke o izmjenama i dopunama Odluke o uređenju prometa</w:t>
      </w:r>
    </w:p>
    <w:p w:rsidR="00241DFB" w:rsidRDefault="00241DFB" w:rsidP="00241DFB">
      <w:pPr>
        <w:spacing w:after="0" w:line="240" w:lineRule="auto"/>
        <w:jc w:val="both"/>
        <w:rPr>
          <w:rFonts w:ascii="Times New Roman" w:hAnsi="Times New Roman" w:cs="Times New Roman"/>
          <w:b/>
          <w:sz w:val="24"/>
          <w:szCs w:val="24"/>
        </w:rPr>
      </w:pPr>
    </w:p>
    <w:p w:rsidR="00241DFB" w:rsidRDefault="00241DFB" w:rsidP="00241D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PRAVNI TEMELJ ZA DONOŠENJE ODLUKE</w:t>
      </w:r>
    </w:p>
    <w:p w:rsidR="00241DFB" w:rsidRDefault="00241DFB" w:rsidP="00241DFB">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Pravni temelj za donošenje Odluke o izmjenama i dopunama Odluke o uređenju prometa je članak 5. stavak 1. Zakona o sigurnosti prometa na cestama (Narodne novine 67/08, 48/10 - Odluka Ustavnog suda Republike Hrvatske, 74/11, 80/13, 158/13- Odluka i Rješenje Ustavnog suda Republike Hrvatske, 92/14, 64/15, 108/17, 70/19, 42/20,85/22, 114/22 i 133/23-udaljnjem tekstu: Zakon) te članak 41. točka 2. Statuta Grada Zagreba (Službeni glasnik Grada Zagreba 23/16, 2/18, 23/18, 3/20, 11/21-proćišćeni tekst i 16/22) kojim je propisano da Gradska skupština Grada Zagreba donosi odluke i druge opće akte kojima uređuje pitanja iz samoupravnog djelokruga Grada Zagreba. Odredba članka 5. stavka 1. Zakona propisuje da jedinice lokalne i područne (regionalne) samouprave, u skladu s odredbama predmetnog Zakona, uz prethodnu suglasnost ministarstva nadležnog za unutarnje poslove, uređuju promet na svom području tako da određuju ceste s prednošću prolaska, dvosmjerni, odnosno jednosmjerni promet, sustav tehničkog uređenja prometa i upravljanje prometom putem elektroničkih sustava i video nadzora, ograničenja brzine kretanja vozila, promet pješaka, vozača bicikla, vozača osobnih prijevoznih sredstva, vozača mopeda, turističkog vlaka i zaprežnih kola, jahaća, te gonjenje i vođenje stoke, parkirališne površine i način parkiranja, zabrane parkiranja i mjesta ograničenog parkiranja, zone smirenog prometa, blokiranje autobusa, teretnih automobila, priključnih vozila i radnih strojeva na mjestima koja nisu namijenjena za parkiranje tih vrsta vozila i način deblokade tih vozila, postavljanje i održavanje zaštitnih ograda za pješake na opasnim mjestima, pješačke zone, sigurne pravce za kretanje školske djece, posebne tehničke mjere za sigurnost pješaka i vozača bicikla u blizini obrazovnih, zdravstvenih i drugih ustanova, igrališta, kino dvorana i sl., uklanjanje dotrajalih, oštećenih i napuštenih vozila, površinu na kojoj će se obavljati: test vožnja, terenska vožnja (</w:t>
      </w:r>
      <w:proofErr w:type="spellStart"/>
      <w:r>
        <w:rPr>
          <w:rFonts w:ascii="Times New Roman" w:hAnsi="Times New Roman" w:cs="Times New Roman"/>
          <w:sz w:val="24"/>
          <w:szCs w:val="24"/>
        </w:rPr>
        <w:t>cross</w:t>
      </w:r>
      <w:proofErr w:type="spellEnd"/>
      <w:r>
        <w:rPr>
          <w:rFonts w:ascii="Times New Roman" w:hAnsi="Times New Roman" w:cs="Times New Roman"/>
          <w:sz w:val="24"/>
          <w:szCs w:val="24"/>
        </w:rPr>
        <w:t>), vožnja izvan kolnika (</w:t>
      </w:r>
      <w:proofErr w:type="spellStart"/>
      <w:r>
        <w:rPr>
          <w:rFonts w:ascii="Times New Roman" w:hAnsi="Times New Roman" w:cs="Times New Roman"/>
          <w:sz w:val="24"/>
          <w:szCs w:val="24"/>
        </w:rPr>
        <w:t>off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road</w:t>
      </w:r>
      <w:proofErr w:type="spellEnd"/>
      <w:r>
        <w:rPr>
          <w:rFonts w:ascii="Times New Roman" w:hAnsi="Times New Roman" w:cs="Times New Roman"/>
          <w:sz w:val="24"/>
          <w:szCs w:val="24"/>
        </w:rPr>
        <w:t xml:space="preserve">), sportske, </w:t>
      </w:r>
      <w:proofErr w:type="spellStart"/>
      <w:r>
        <w:rPr>
          <w:rFonts w:ascii="Times New Roman" w:hAnsi="Times New Roman" w:cs="Times New Roman"/>
          <w:sz w:val="24"/>
          <w:szCs w:val="24"/>
        </w:rPr>
        <w:t>enduro</w:t>
      </w:r>
      <w:proofErr w:type="spellEnd"/>
      <w:r>
        <w:rPr>
          <w:rFonts w:ascii="Times New Roman" w:hAnsi="Times New Roman" w:cs="Times New Roman"/>
          <w:sz w:val="24"/>
          <w:szCs w:val="24"/>
        </w:rPr>
        <w:t xml:space="preserve"> i promidžbene vožnje, uvjete prometovanja vozila opskrbe u zonama smirenog prometa i pješačkim zonama, te uvjete ulaza, prometovanja i izlaza vozila iz zone prometa u zaštićenoj kulturno-povijesnoj cjelini i kontaktnoj zoni. Člankom 5. stavkom 2. Zakona, propisano je da kada se uređuju uvjeti za ulaz, prometovanje i izlaz vozila u zaštićenoj kulturno-povijesnoj cjelini i kontaktnoj zoni potrebna je suglasnost ministarstva nadležnog za  poslove kulture.</w:t>
      </w:r>
    </w:p>
    <w:p w:rsidR="00241DFB" w:rsidRDefault="00241DFB" w:rsidP="00241DFB">
      <w:pPr>
        <w:shd w:val="clear" w:color="auto" w:fill="FFFFFF" w:themeFill="background1"/>
        <w:spacing w:after="0" w:line="240" w:lineRule="auto"/>
        <w:jc w:val="both"/>
        <w:rPr>
          <w:rFonts w:ascii="Times New Roman" w:hAnsi="Times New Roman" w:cs="Times New Roman"/>
          <w:sz w:val="24"/>
          <w:szCs w:val="24"/>
        </w:rPr>
      </w:pPr>
    </w:p>
    <w:p w:rsidR="00241DFB" w:rsidRDefault="00241DFB" w:rsidP="00241DFB">
      <w:pPr>
        <w:shd w:val="clear" w:color="auto" w:fill="FFFFFF" w:themeFill="background1"/>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OCJENA STANJA, OSNOVNA PITANJA KOJA TREBA UREDITI I SVRHA KOJA SE ŽELI POSTIĆI UREĐIVANJEM ODNOSA NA PREDLOŽENI NAČIN </w:t>
      </w:r>
    </w:p>
    <w:p w:rsidR="00241DFB" w:rsidRDefault="00241DFB" w:rsidP="00241DFB">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Predloženim predmetnim izmjenama i dopunama Odluka o uređenju prometa (Službeni glasnik Grada Zagreba 21/14, 9/15, 20/18, 15/20 i 15/23-pročišćeni tekst-u daljnjem tekstu: Odluka), ista se usklađuje s odredbama Zakona i propisima koji se odnose na prometovanje bicikla.</w:t>
      </w:r>
    </w:p>
    <w:p w:rsidR="00241DFB" w:rsidRDefault="00241DFB" w:rsidP="00241DFB">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Odluka, člankom 3. stavkom 1., točkama od 1 - 13. propisuje što se podrazumijeva pod uređenjem prometa, sukladno članku 5. Zakona. Budući da su se odredbe članka 5. Zakona izmijenile, s istima se sada izričajno usklađuju odredbe članka. 3. stavka 1. točke 5. Odluke, na način da će točka 5. glasiti: „5. promet pješaka, vozača bicikla, vozača osobnih prijevoznih sredstava, vozača mopeda, turističkog vlaka i zaprežnih kola, jahača te gonjenje i vođenje stoke,“ te točke 10. na način da se riječ: „biciklista“ zamjenjuje riječima: „vozača bicikla“. Dodaje se točaka 14. koja je propisana člankom 5. stavkom 1. točka 14. Zakona, a koja glasi: „14. uvjete ulaza, prometovanja i izlaza vozila iz zone prometa u zaštićenoj kulturno-povijesnoj cjelini i kontaktnoj zoni.“. </w:t>
      </w:r>
    </w:p>
    <w:p w:rsidR="00241DFB" w:rsidRDefault="00241DFB" w:rsidP="00241D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odnosu na odredbe kojima se uređuje promet biciklima, iste se usklađuju sa Zakonom i Pravilnikom o biciklističkoj infrastrukturi (Narodne novine, 28/16).</w:t>
      </w:r>
    </w:p>
    <w:p w:rsidR="00241DFB" w:rsidRDefault="00241DFB" w:rsidP="00241D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Nadalje, izmjene i dopuna visine rubnjaka na pješačkim i biciklističkim prijelazima bilo je potrebno propisati distinkciju između pješačkog dijela prijelaza i prijelaza vozača bicikla preko ceste. Pravilnikom o osiguranju pristupačnosti građevina osobama s invaliditetom i smanjene pokretljivosti  (Narodne novine 78/13) se pješački prijelaz od kolnika mora odvojiti rubnjakom minimalno 3cm ili taktilnim površinama </w:t>
      </w:r>
      <w:proofErr w:type="spellStart"/>
      <w:r>
        <w:rPr>
          <w:rFonts w:ascii="Times New Roman" w:hAnsi="Times New Roman" w:cs="Times New Roman"/>
          <w:sz w:val="24"/>
          <w:szCs w:val="24"/>
        </w:rPr>
        <w:t>čepaste</w:t>
      </w:r>
      <w:proofErr w:type="spellEnd"/>
      <w:r>
        <w:rPr>
          <w:rFonts w:ascii="Times New Roman" w:hAnsi="Times New Roman" w:cs="Times New Roman"/>
          <w:sz w:val="24"/>
          <w:szCs w:val="24"/>
        </w:rPr>
        <w:t xml:space="preserve"> strukture radi sigurnijeg kretanja slijepih i slabovidnih osoba. Prijelaz biciklističke staze preko kolnika prema Pravilniku o biciklističkoj infrastrukturi ne smije biti odvojen rubnjakom višim od maksimalno 3 cm. Gradonačelnik Grada Zagreba je osnovao radnu skupinu pod nazivom Zagreb  </w:t>
      </w:r>
      <w:proofErr w:type="spellStart"/>
      <w:r>
        <w:rPr>
          <w:rFonts w:ascii="Times New Roman" w:hAnsi="Times New Roman" w:cs="Times New Roman"/>
          <w:sz w:val="24"/>
          <w:szCs w:val="24"/>
        </w:rPr>
        <w:t>Cycle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w:t>
      </w:r>
      <w:proofErr w:type="spellEnd"/>
      <w:r>
        <w:rPr>
          <w:rFonts w:ascii="Times New Roman" w:hAnsi="Times New Roman" w:cs="Times New Roman"/>
          <w:sz w:val="24"/>
          <w:szCs w:val="24"/>
        </w:rPr>
        <w:t xml:space="preserve"> (ZGCU) radi unaprjeđenja i razvoja biciklizma i biciklističke infrastrukture, a jedan od zaključaka je da se radi lakšeg kretanja vozača bicikla prijelazi preko kolnika izvode bez poprečnog rubnjaka, odnosno spuštanjem prijelaza biciklističke staze na </w:t>
      </w:r>
      <w:proofErr w:type="spellStart"/>
      <w:r>
        <w:rPr>
          <w:rFonts w:ascii="Times New Roman" w:hAnsi="Times New Roman" w:cs="Times New Roman"/>
          <w:sz w:val="24"/>
          <w:szCs w:val="24"/>
        </w:rPr>
        <w:t>niveletu</w:t>
      </w:r>
      <w:proofErr w:type="spellEnd"/>
      <w:r>
        <w:rPr>
          <w:rFonts w:ascii="Times New Roman" w:hAnsi="Times New Roman" w:cs="Times New Roman"/>
          <w:sz w:val="24"/>
          <w:szCs w:val="24"/>
        </w:rPr>
        <w:t xml:space="preserve"> kolnika. Isto tako predlaže se, a u svezi prometovanja bicikla, propiše da se prilikom izgradnje ili rekonstrukcije cesta, prilaz biciklističke staze pješačko-biciklističkom prijelazu u pravilu treba projektirati i izvoditi odvojenog od pješačkog dijela staze ugradbom rubnjaka u visini 2-3 cm i u duljini od najmanje 1 m.</w:t>
      </w:r>
    </w:p>
    <w:p w:rsidR="00241DFB" w:rsidRDefault="00241DFB" w:rsidP="00241D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Nadalje, jedinice lokalne i područne (regionalne) samouprave imaju ovlast poduzeti određene radnje usmjerene na sankcioniranje kategorija vozila iz članka 5. stavka 1. točke 8. Zakona te su ovim prijedlogom visine novčanih kazni za propisane prekršaje povećane u okviru raspona određenog člankom 33. stavcima 4., 5. i 6. Prekršajnog zakona (Narodne novine, 07/07, 39/13, 157/13, 110/15, 70/17, 118/18 i 114/22). </w:t>
      </w:r>
    </w:p>
    <w:p w:rsidR="00241DFB" w:rsidRDefault="00241DFB" w:rsidP="00241D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Nastavno u članku 28. predložene odluke novčane kazne u kunama preračunavaju se u eure sukladno odredbi članka 59. stavka 3. Zakona o uvođenju eura kao službene valute u Republici Hrvatskoj.</w:t>
      </w:r>
    </w:p>
    <w:p w:rsidR="00241DFB" w:rsidRDefault="00241DFB" w:rsidP="00241DFB">
      <w:pPr>
        <w:spacing w:after="0" w:line="240" w:lineRule="auto"/>
        <w:jc w:val="both"/>
        <w:rPr>
          <w:rFonts w:ascii="Times New Roman" w:hAnsi="Times New Roman" w:cs="Times New Roman"/>
          <w:sz w:val="24"/>
          <w:szCs w:val="24"/>
        </w:rPr>
      </w:pPr>
    </w:p>
    <w:p w:rsidR="00241DFB" w:rsidRDefault="00241DFB" w:rsidP="00241DF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III. SREDSTVA ZA PROVOĐENJE ODLUKE</w:t>
      </w:r>
      <w:r>
        <w:rPr>
          <w:rFonts w:ascii="Times New Roman" w:hAnsi="Times New Roman" w:cs="Times New Roman"/>
          <w:sz w:val="24"/>
          <w:szCs w:val="24"/>
        </w:rPr>
        <w:t xml:space="preserve"> Za provođenje ove odluke nije potrebno osigurati dodatna sredstva u Proračunu Grada Zagreba za 2024. godinu.</w:t>
      </w:r>
    </w:p>
    <w:p w:rsidR="00241DFB" w:rsidRDefault="00241DFB" w:rsidP="00241DFB">
      <w:pPr>
        <w:spacing w:after="0" w:line="240" w:lineRule="auto"/>
        <w:jc w:val="both"/>
        <w:rPr>
          <w:rFonts w:ascii="Times New Roman" w:hAnsi="Times New Roman" w:cs="Times New Roman"/>
          <w:sz w:val="24"/>
          <w:szCs w:val="24"/>
        </w:rPr>
      </w:pPr>
    </w:p>
    <w:p w:rsidR="00241DFB" w:rsidRDefault="00241DFB" w:rsidP="00241D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IV. OBRAZLOŽENJE ODREDABA PRIJEDLOGA ODLUKE </w:t>
      </w:r>
    </w:p>
    <w:p w:rsidR="00241DFB" w:rsidRDefault="00241DFB" w:rsidP="00241DF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Članak 1.</w:t>
      </w:r>
      <w:r>
        <w:rPr>
          <w:rFonts w:ascii="Times New Roman" w:hAnsi="Times New Roman" w:cs="Times New Roman"/>
          <w:sz w:val="24"/>
          <w:szCs w:val="24"/>
        </w:rPr>
        <w:t xml:space="preserve"> propisuje da se u članku 3. stavku 1. točka 5. i točka 10. izričajno usklađuju sa Zakonom, a iza točke 13. Odluke dodaje se točka 14. koja glasi: “14. uvjete ulaza, prometovanja i izlaza vozila iz zone prometa u zaštićenoj kulturno-povijesnoj cjelini i kontaktnoj zoni.“</w:t>
      </w:r>
    </w:p>
    <w:p w:rsidR="00241DFB" w:rsidRDefault="00241DFB" w:rsidP="00241DFB">
      <w:pPr>
        <w:spacing w:line="240" w:lineRule="auto"/>
        <w:jc w:val="both"/>
        <w:rPr>
          <w:rFonts w:ascii="Times New Roman" w:hAnsi="Times New Roman" w:cs="Times New Roman"/>
          <w:sz w:val="24"/>
          <w:szCs w:val="24"/>
        </w:rPr>
      </w:pPr>
    </w:p>
    <w:p w:rsidR="00241DFB" w:rsidRDefault="00241DFB" w:rsidP="00241DF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Članak 2.</w:t>
      </w:r>
      <w:r>
        <w:rPr>
          <w:rFonts w:ascii="Times New Roman" w:hAnsi="Times New Roman" w:cs="Times New Roman"/>
          <w:sz w:val="24"/>
          <w:szCs w:val="24"/>
        </w:rPr>
        <w:t xml:space="preserve"> propisuje da se članak 11. Odluke mijenja na način da se promet biciklima odvija sukladno propisima kojima s uređuje sigurnost prometa na cestama i biciklistička infrastruktura.</w:t>
      </w:r>
    </w:p>
    <w:p w:rsidR="00241DFB" w:rsidRDefault="00241DFB" w:rsidP="00241DFB">
      <w:pPr>
        <w:spacing w:after="0" w:line="240" w:lineRule="auto"/>
        <w:jc w:val="both"/>
        <w:rPr>
          <w:rFonts w:ascii="Times New Roman" w:hAnsi="Times New Roman" w:cs="Times New Roman"/>
          <w:sz w:val="24"/>
          <w:szCs w:val="24"/>
        </w:rPr>
      </w:pPr>
    </w:p>
    <w:p w:rsidR="00241DFB" w:rsidRDefault="00241DFB" w:rsidP="00241DFB">
      <w:pPr>
        <w:spacing w:line="240" w:lineRule="auto"/>
        <w:jc w:val="both"/>
        <w:rPr>
          <w:rFonts w:ascii="Times New Roman" w:hAnsi="Times New Roman" w:cs="Times New Roman"/>
          <w:sz w:val="24"/>
          <w:szCs w:val="24"/>
        </w:rPr>
      </w:pPr>
      <w:r>
        <w:rPr>
          <w:rFonts w:ascii="Times New Roman" w:hAnsi="Times New Roman" w:cs="Times New Roman"/>
          <w:b/>
          <w:sz w:val="24"/>
          <w:szCs w:val="24"/>
        </w:rPr>
        <w:t>Članak 3.</w:t>
      </w:r>
      <w:r>
        <w:rPr>
          <w:rFonts w:ascii="Times New Roman" w:hAnsi="Times New Roman" w:cs="Times New Roman"/>
          <w:sz w:val="24"/>
          <w:szCs w:val="24"/>
        </w:rPr>
        <w:t xml:space="preserve"> propisuje da se članak 12. Odluke mijenja i istim se sada propisuje distinkcija između pješačkog dijela prijelaza i prijelaza vozača bicikla preko ceste, te se nastavno propisuje da prilikom izgradnje ili rekonstrukcije cesta, prilaz biciklističke staze pješačko-biciklističkom prijelazu u pravilu treba projektirati i izvoditi odvojenog od pješačkog dijela staze ugradbom rubnjaka u visini 2-3 cm i u duljini od najmanje 1 m.</w:t>
      </w:r>
    </w:p>
    <w:p w:rsidR="00241DFB" w:rsidRDefault="00241DFB" w:rsidP="00241DFB">
      <w:pPr>
        <w:spacing w:after="0" w:line="240" w:lineRule="auto"/>
        <w:jc w:val="both"/>
        <w:rPr>
          <w:rFonts w:ascii="Times New Roman" w:hAnsi="Times New Roman" w:cs="Times New Roman"/>
          <w:sz w:val="24"/>
          <w:szCs w:val="24"/>
        </w:rPr>
      </w:pPr>
    </w:p>
    <w:p w:rsidR="00241DFB" w:rsidRDefault="00241DFB" w:rsidP="00241DFB">
      <w:pPr>
        <w:spacing w:after="0" w:line="240" w:lineRule="auto"/>
        <w:jc w:val="both"/>
        <w:rPr>
          <w:rFonts w:ascii="Times New Roman" w:hAnsi="Times New Roman" w:cs="Times New Roman"/>
          <w:sz w:val="24"/>
          <w:szCs w:val="24"/>
          <w:lang w:eastAsia="hr-HR"/>
        </w:rPr>
      </w:pPr>
      <w:r>
        <w:rPr>
          <w:rFonts w:ascii="Times New Roman" w:hAnsi="Times New Roman" w:cs="Times New Roman"/>
          <w:b/>
          <w:sz w:val="24"/>
          <w:szCs w:val="24"/>
        </w:rPr>
        <w:t>Članak 4.</w:t>
      </w:r>
      <w:r>
        <w:rPr>
          <w:rFonts w:ascii="Times New Roman" w:hAnsi="Times New Roman" w:cs="Times New Roman"/>
          <w:sz w:val="24"/>
          <w:szCs w:val="24"/>
        </w:rPr>
        <w:t xml:space="preserve"> propisuju se </w:t>
      </w:r>
      <w:proofErr w:type="spellStart"/>
      <w:r>
        <w:rPr>
          <w:rFonts w:ascii="Times New Roman" w:hAnsi="Times New Roman" w:cs="Times New Roman"/>
          <w:sz w:val="24"/>
          <w:szCs w:val="24"/>
        </w:rPr>
        <w:t>prekršajnopravne</w:t>
      </w:r>
      <w:proofErr w:type="spellEnd"/>
      <w:r>
        <w:rPr>
          <w:rFonts w:ascii="Times New Roman" w:hAnsi="Times New Roman" w:cs="Times New Roman"/>
          <w:sz w:val="24"/>
          <w:szCs w:val="24"/>
        </w:rPr>
        <w:t xml:space="preserve"> sankcije za pravne osobe vlasnike vozila i odgovornu osobu u pravnoj osobi, vlasnike vozila fizičke osobe obrtnike i osobe koje obavljaju samostalnu djelatnost kao i vozače počinitelje prekršaja iz članka 15. stavka 2., članka 17. stavaka 1. i 2. i članka 18. stavka 1. i 3. </w:t>
      </w:r>
    </w:p>
    <w:p w:rsidR="00241DFB" w:rsidRDefault="00241DFB" w:rsidP="00241DFB">
      <w:pPr>
        <w:spacing w:after="0" w:line="240" w:lineRule="auto"/>
        <w:jc w:val="both"/>
        <w:rPr>
          <w:rFonts w:ascii="Times New Roman" w:hAnsi="Times New Roman" w:cs="Times New Roman"/>
          <w:sz w:val="24"/>
          <w:szCs w:val="24"/>
          <w:lang w:eastAsia="hr-HR"/>
        </w:rPr>
      </w:pPr>
    </w:p>
    <w:p w:rsidR="00241DFB" w:rsidRDefault="00241DFB" w:rsidP="00241DFB">
      <w:pPr>
        <w:spacing w:after="0" w:line="240" w:lineRule="auto"/>
        <w:jc w:val="both"/>
        <w:rPr>
          <w:rFonts w:ascii="Times New Roman" w:hAnsi="Times New Roman" w:cs="Times New Roman"/>
          <w:sz w:val="24"/>
          <w:szCs w:val="24"/>
          <w:lang w:eastAsia="hr-HR"/>
        </w:rPr>
      </w:pPr>
      <w:r>
        <w:rPr>
          <w:rFonts w:ascii="Times New Roman" w:hAnsi="Times New Roman" w:cs="Times New Roman"/>
          <w:b/>
          <w:sz w:val="24"/>
          <w:szCs w:val="24"/>
          <w:lang w:eastAsia="hr-HR"/>
        </w:rPr>
        <w:t>Članak 5.</w:t>
      </w:r>
      <w:r>
        <w:rPr>
          <w:rFonts w:ascii="Times New Roman" w:hAnsi="Times New Roman" w:cs="Times New Roman"/>
          <w:sz w:val="24"/>
          <w:szCs w:val="24"/>
          <w:lang w:eastAsia="hr-HR"/>
        </w:rPr>
        <w:t xml:space="preserve"> </w:t>
      </w:r>
      <w:r>
        <w:rPr>
          <w:rFonts w:ascii="Times New Roman" w:hAnsi="Times New Roman" w:cs="Times New Roman"/>
          <w:sz w:val="24"/>
          <w:szCs w:val="24"/>
        </w:rPr>
        <w:t xml:space="preserve">propisuju se </w:t>
      </w:r>
      <w:proofErr w:type="spellStart"/>
      <w:r>
        <w:rPr>
          <w:rFonts w:ascii="Times New Roman" w:hAnsi="Times New Roman" w:cs="Times New Roman"/>
          <w:sz w:val="24"/>
          <w:szCs w:val="24"/>
        </w:rPr>
        <w:t>prekršajnopravne</w:t>
      </w:r>
      <w:proofErr w:type="spellEnd"/>
      <w:r>
        <w:rPr>
          <w:rFonts w:ascii="Times New Roman" w:hAnsi="Times New Roman" w:cs="Times New Roman"/>
          <w:sz w:val="24"/>
          <w:szCs w:val="24"/>
        </w:rPr>
        <w:t xml:space="preserve"> sankcije za pravne osobe i odgovornu osobu u pravnoj osobi, fizičke osobe obrtnike i osobe koje obavljaju samostalnu djelatnost kao i fizičke osobe </w:t>
      </w:r>
      <w:r>
        <w:rPr>
          <w:rFonts w:ascii="Times New Roman" w:hAnsi="Times New Roman" w:cs="Times New Roman"/>
          <w:sz w:val="24"/>
          <w:szCs w:val="24"/>
        </w:rPr>
        <w:lastRenderedPageBreak/>
        <w:t xml:space="preserve">počinitelje prekršaja iz članka 9. stavka 2., članka 14. stavka 2., članka 23. stavka 2. i članka 24. stavka 1. </w:t>
      </w:r>
    </w:p>
    <w:p w:rsidR="00241DFB" w:rsidRDefault="00241DFB" w:rsidP="00241DFB">
      <w:pPr>
        <w:spacing w:after="0" w:line="240" w:lineRule="auto"/>
        <w:jc w:val="both"/>
        <w:rPr>
          <w:rFonts w:ascii="Times New Roman" w:hAnsi="Times New Roman" w:cs="Times New Roman"/>
          <w:sz w:val="24"/>
          <w:szCs w:val="24"/>
          <w:lang w:eastAsia="hr-HR"/>
        </w:rPr>
      </w:pPr>
    </w:p>
    <w:p w:rsidR="00241DFB" w:rsidRDefault="00241DFB" w:rsidP="00241DF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lang w:eastAsia="hr-HR"/>
        </w:rPr>
        <w:t>Člankom 6.</w:t>
      </w:r>
      <w:r>
        <w:rPr>
          <w:rFonts w:ascii="Times New Roman" w:hAnsi="Times New Roman" w:cs="Times New Roman"/>
          <w:sz w:val="24"/>
          <w:szCs w:val="24"/>
          <w:lang w:eastAsia="hr-HR"/>
        </w:rPr>
        <w:t xml:space="preserve"> propisuje dan stupanja na snagu ove o</w:t>
      </w:r>
      <w:r>
        <w:rPr>
          <w:rFonts w:ascii="Times New Roman" w:hAnsi="Times New Roman" w:cs="Times New Roman"/>
          <w:sz w:val="24"/>
          <w:szCs w:val="24"/>
        </w:rPr>
        <w:t>dluke, sukladno članku 119. stavku 2. Poslovnika Gradske skupštine Grada Zagreba (Službeni glasnik Grada Zagreba 15/23), kojem je propisano da odluke i drugi opći akti stupaju na snagu najranije osmoga dana od dana objave.</w:t>
      </w:r>
    </w:p>
    <w:p w:rsidR="00241DFB" w:rsidRDefault="00241DFB" w:rsidP="00241DFB">
      <w:pPr>
        <w:shd w:val="clear" w:color="auto" w:fill="FFFFFF"/>
        <w:spacing w:after="0" w:line="240" w:lineRule="auto"/>
        <w:jc w:val="both"/>
        <w:rPr>
          <w:rFonts w:ascii="Times New Roman" w:hAnsi="Times New Roman" w:cs="Times New Roman"/>
          <w:sz w:val="24"/>
          <w:szCs w:val="24"/>
        </w:rPr>
      </w:pPr>
    </w:p>
    <w:p w:rsidR="00241DFB" w:rsidRDefault="00241DFB" w:rsidP="00241DFB">
      <w:pPr>
        <w:shd w:val="clear" w:color="auto" w:fill="FFFFFF"/>
        <w:spacing w:after="0" w:line="240" w:lineRule="auto"/>
        <w:jc w:val="both"/>
        <w:rPr>
          <w:rFonts w:ascii="Times New Roman" w:hAnsi="Times New Roman" w:cs="Times New Roman"/>
          <w:sz w:val="24"/>
          <w:szCs w:val="24"/>
        </w:rPr>
      </w:pPr>
    </w:p>
    <w:p w:rsidR="00241DFB" w:rsidRDefault="00241DFB" w:rsidP="00241DFB">
      <w:pPr>
        <w:spacing w:line="240" w:lineRule="auto"/>
        <w:rPr>
          <w:rFonts w:ascii="Times New Roman" w:eastAsia="Times New Roman" w:hAnsi="Times New Roman" w:cs="Times New Roman"/>
          <w:b/>
          <w:sz w:val="24"/>
          <w:szCs w:val="24"/>
        </w:rPr>
      </w:pPr>
    </w:p>
    <w:p w:rsidR="00DB44C2" w:rsidRDefault="00DB44C2"/>
    <w:sectPr w:rsidR="00DB4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FB"/>
    <w:rsid w:val="00241DFB"/>
    <w:rsid w:val="00A03A28"/>
    <w:rsid w:val="00DB44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A208"/>
  <w15:chartTrackingRefBased/>
  <w15:docId w15:val="{14B59343-850F-4C50-8AAC-B545DA20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5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Berlajolli</dc:creator>
  <cp:keywords/>
  <dc:description/>
  <cp:lastModifiedBy>Eleonora Berlajolli</cp:lastModifiedBy>
  <cp:revision>2</cp:revision>
  <cp:lastPrinted>2024-07-12T11:23:00Z</cp:lastPrinted>
  <dcterms:created xsi:type="dcterms:W3CDTF">2024-07-12T10:32:00Z</dcterms:created>
  <dcterms:modified xsi:type="dcterms:W3CDTF">2024-07-12T11:28:00Z</dcterms:modified>
</cp:coreProperties>
</file>